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2736D1" w:rsidRDefault="000924D0" w:rsidP="005D4779">
      <w:pPr>
        <w:pStyle w:val="Date10"/>
        <w:ind w:left="284"/>
        <w:rPr>
          <w:rStyle w:val="Rfrenceintense"/>
          <w:b w:val="0"/>
          <w:bCs w:val="0"/>
          <w:smallCaps w:val="0"/>
          <w:color w:val="auto"/>
          <w:spacing w:val="0"/>
        </w:rPr>
      </w:pPr>
    </w:p>
    <w:p w:rsidR="0079276E" w:rsidRPr="002736D1" w:rsidRDefault="0079276E" w:rsidP="00B55B58">
      <w:pPr>
        <w:pStyle w:val="Corpsdetexte"/>
        <w:rPr>
          <w:noProof/>
        </w:rPr>
      </w:pPr>
    </w:p>
    <w:p w:rsidR="0079276E" w:rsidRPr="002736D1" w:rsidRDefault="0079276E" w:rsidP="00B55B58">
      <w:pPr>
        <w:pStyle w:val="Corpsdetexte"/>
      </w:pPr>
    </w:p>
    <w:p w:rsidR="000924D0" w:rsidRPr="002736D1" w:rsidRDefault="000924D0" w:rsidP="00B55B58">
      <w:pPr>
        <w:pStyle w:val="Corpsdetexte"/>
      </w:pPr>
    </w:p>
    <w:p w:rsidR="00C54736" w:rsidRDefault="00C54736" w:rsidP="00C54736">
      <w:pPr>
        <w:pStyle w:val="Corpsdetexte"/>
        <w:jc w:val="right"/>
      </w:pPr>
    </w:p>
    <w:p w:rsidR="00C54736" w:rsidRDefault="00C54736" w:rsidP="00C54736">
      <w:pPr>
        <w:pStyle w:val="Corpsdetexte"/>
        <w:jc w:val="right"/>
      </w:pPr>
      <w:r>
        <w:t xml:space="preserve">Paris, le </w:t>
      </w:r>
      <w:r w:rsidR="001D6095">
        <w:t>3</w:t>
      </w:r>
      <w:r>
        <w:t xml:space="preserve"> septembre 2021</w:t>
      </w:r>
    </w:p>
    <w:p w:rsidR="00C54736" w:rsidRDefault="00C54736" w:rsidP="00C54736">
      <w:pPr>
        <w:pStyle w:val="Corpsdetexte"/>
        <w:jc w:val="right"/>
      </w:pPr>
    </w:p>
    <w:p w:rsidR="00C54736" w:rsidRDefault="00C54736" w:rsidP="00C54736">
      <w:pPr>
        <w:pStyle w:val="Corpsdetexte"/>
        <w:jc w:val="right"/>
      </w:pPr>
    </w:p>
    <w:p w:rsidR="00C54736" w:rsidRDefault="00C54736" w:rsidP="00C54736">
      <w:pPr>
        <w:pStyle w:val="Corpsdetexte"/>
        <w:jc w:val="right"/>
      </w:pPr>
    </w:p>
    <w:p w:rsidR="00C54736" w:rsidRDefault="00C54736" w:rsidP="00C54736">
      <w:pPr>
        <w:pStyle w:val="Corpsdetexte"/>
        <w:jc w:val="right"/>
      </w:pPr>
      <w:r>
        <w:t>La ministre de l’enseignement supérieur,</w:t>
      </w:r>
    </w:p>
    <w:p w:rsidR="00C54736" w:rsidRDefault="00C54736" w:rsidP="00C54736">
      <w:pPr>
        <w:pStyle w:val="Corpsdetexte"/>
        <w:jc w:val="right"/>
      </w:pPr>
      <w:proofErr w:type="gramStart"/>
      <w:r>
        <w:t>de</w:t>
      </w:r>
      <w:proofErr w:type="gramEnd"/>
      <w:r>
        <w:t xml:space="preserve"> la recherche et de l’innovation</w:t>
      </w:r>
    </w:p>
    <w:p w:rsidR="00C54736" w:rsidRDefault="00C54736" w:rsidP="00C54736">
      <w:pPr>
        <w:pStyle w:val="Corpsdetexte"/>
        <w:jc w:val="right"/>
      </w:pPr>
    </w:p>
    <w:p w:rsidR="00C54736" w:rsidRDefault="00C54736" w:rsidP="00C54736">
      <w:pPr>
        <w:pStyle w:val="Corpsdetexte"/>
        <w:jc w:val="right"/>
      </w:pPr>
      <w:proofErr w:type="gramStart"/>
      <w:r>
        <w:t>à</w:t>
      </w:r>
      <w:proofErr w:type="gramEnd"/>
    </w:p>
    <w:p w:rsidR="00C54736" w:rsidRDefault="00C54736" w:rsidP="00C54736">
      <w:pPr>
        <w:pStyle w:val="Corpsdetexte"/>
        <w:jc w:val="right"/>
      </w:pPr>
    </w:p>
    <w:p w:rsidR="00C54736" w:rsidRDefault="00C54736" w:rsidP="00C54736">
      <w:pPr>
        <w:pStyle w:val="Corpsdetexte"/>
        <w:jc w:val="right"/>
      </w:pPr>
      <w:r>
        <w:t>Mesdames et Messieurs les chefs d’établissement d’enseignement supérieur</w:t>
      </w:r>
    </w:p>
    <w:p w:rsidR="00C54736" w:rsidRDefault="00C54736" w:rsidP="00C54736">
      <w:pPr>
        <w:pStyle w:val="Corpsdetexte"/>
        <w:jc w:val="right"/>
      </w:pPr>
    </w:p>
    <w:p w:rsidR="00C54736" w:rsidRDefault="00C54736" w:rsidP="00C54736">
      <w:pPr>
        <w:pStyle w:val="Corpsdetexte"/>
        <w:jc w:val="right"/>
      </w:pPr>
      <w:proofErr w:type="gramStart"/>
      <w:r>
        <w:t>s</w:t>
      </w:r>
      <w:proofErr w:type="gramEnd"/>
      <w:r>
        <w:t xml:space="preserve">/c de </w:t>
      </w:r>
    </w:p>
    <w:p w:rsidR="00C54736" w:rsidRDefault="00C54736" w:rsidP="00C54736">
      <w:pPr>
        <w:pStyle w:val="Corpsdetexte"/>
        <w:jc w:val="right"/>
      </w:pPr>
    </w:p>
    <w:p w:rsidR="00C54736" w:rsidRDefault="00C54736" w:rsidP="00C54736">
      <w:pPr>
        <w:pStyle w:val="Corpsdetexte"/>
        <w:jc w:val="right"/>
      </w:pPr>
      <w:r>
        <w:t>Mesdames les rectrices de région académique, chancelières des université</w:t>
      </w:r>
      <w:r w:rsidR="007734EB">
        <w:t>s</w:t>
      </w:r>
    </w:p>
    <w:p w:rsidR="00C54736" w:rsidRDefault="00C54736" w:rsidP="00C54736">
      <w:pPr>
        <w:pStyle w:val="Corpsdetexte"/>
        <w:jc w:val="right"/>
      </w:pPr>
      <w:proofErr w:type="gramStart"/>
      <w:r>
        <w:t>et</w:t>
      </w:r>
      <w:proofErr w:type="gramEnd"/>
      <w:r>
        <w:t xml:space="preserve"> Messieurs les recteurs de région académique, chanceliers des universités,</w:t>
      </w:r>
    </w:p>
    <w:p w:rsidR="00C54736" w:rsidRDefault="00C54736" w:rsidP="00C54736">
      <w:pPr>
        <w:pStyle w:val="Corpsdetexte"/>
        <w:jc w:val="right"/>
      </w:pPr>
      <w:r>
        <w:t>Mesdames les rectrices déléguées pour l’enseignement supérieur, la recherche et l’innovation</w:t>
      </w:r>
    </w:p>
    <w:p w:rsidR="00C54736" w:rsidRDefault="00C54736" w:rsidP="00C54736">
      <w:pPr>
        <w:pStyle w:val="Corpsdetexte"/>
        <w:jc w:val="right"/>
      </w:pPr>
      <w:r>
        <w:t xml:space="preserve"> </w:t>
      </w:r>
      <w:proofErr w:type="gramStart"/>
      <w:r>
        <w:t>et</w:t>
      </w:r>
      <w:proofErr w:type="gramEnd"/>
      <w:r>
        <w:t xml:space="preserve"> Messieurs les recteurs délégués pour l’enseignement supérieur, la recherche et l’innovation </w:t>
      </w:r>
    </w:p>
    <w:p w:rsidR="00C54736" w:rsidRDefault="00C54736" w:rsidP="00C54736">
      <w:pPr>
        <w:pStyle w:val="Corpsdetexte"/>
        <w:jc w:val="right"/>
      </w:pPr>
    </w:p>
    <w:p w:rsidR="00C54736" w:rsidRDefault="00C54736" w:rsidP="00C54736">
      <w:pPr>
        <w:pStyle w:val="Corpsdetexte"/>
      </w:pPr>
    </w:p>
    <w:p w:rsidR="00C54736" w:rsidRDefault="00C54736" w:rsidP="00C54736">
      <w:pPr>
        <w:pStyle w:val="Corpsdetexte"/>
      </w:pPr>
    </w:p>
    <w:p w:rsidR="00C54736" w:rsidRDefault="00C54736" w:rsidP="00B55B58">
      <w:pPr>
        <w:pStyle w:val="Corpsdetexte"/>
      </w:pPr>
    </w:p>
    <w:p w:rsidR="00C54736" w:rsidRPr="002736D1" w:rsidRDefault="00C54736" w:rsidP="00B55B58">
      <w:pPr>
        <w:pStyle w:val="Corpsdetexte"/>
        <w:sectPr w:rsidR="00C54736" w:rsidRPr="002736D1" w:rsidSect="00930B38">
          <w:headerReference w:type="default" r:id="rId11"/>
          <w:footerReference w:type="even" r:id="rId12"/>
          <w:type w:val="continuous"/>
          <w:pgSz w:w="11910" w:h="16840"/>
          <w:pgMar w:top="963" w:right="964" w:bottom="964" w:left="964" w:header="720" w:footer="720" w:gutter="0"/>
          <w:cols w:space="720"/>
        </w:sectPr>
      </w:pPr>
    </w:p>
    <w:p w:rsidR="00726956" w:rsidRPr="00254DF9" w:rsidRDefault="00726956" w:rsidP="00726956">
      <w:pPr>
        <w:widowControl/>
        <w:tabs>
          <w:tab w:val="left" w:pos="1628"/>
        </w:tabs>
        <w:autoSpaceDE/>
        <w:autoSpaceDN/>
        <w:ind w:right="282"/>
        <w:jc w:val="both"/>
        <w:rPr>
          <w:rFonts w:asciiTheme="minorHAnsi" w:eastAsia="Times" w:hAnsiTheme="minorHAnsi" w:cstheme="minorHAnsi"/>
          <w:sz w:val="20"/>
          <w:szCs w:val="20"/>
          <w:lang w:val="fr-FR" w:eastAsia="fr-FR"/>
        </w:rPr>
      </w:pPr>
      <w:r w:rsidRPr="00254DF9">
        <w:rPr>
          <w:rFonts w:asciiTheme="minorHAnsi" w:eastAsia="Times" w:hAnsiTheme="minorHAnsi" w:cstheme="minorHAnsi"/>
          <w:b/>
          <w:bCs/>
          <w:sz w:val="20"/>
          <w:szCs w:val="20"/>
          <w:lang w:val="fr-FR" w:eastAsia="fr-FR"/>
        </w:rPr>
        <w:t xml:space="preserve">Objet </w:t>
      </w:r>
      <w:r w:rsidRPr="00254DF9">
        <w:rPr>
          <w:rFonts w:asciiTheme="minorHAnsi" w:eastAsia="Times" w:hAnsiTheme="minorHAnsi" w:cstheme="minorHAnsi"/>
          <w:sz w:val="20"/>
          <w:szCs w:val="20"/>
          <w:lang w:val="fr-FR" w:eastAsia="fr-FR"/>
        </w:rPr>
        <w:t xml:space="preserve">: </w:t>
      </w:r>
      <w:r w:rsidR="00C54736" w:rsidRPr="00C54736">
        <w:rPr>
          <w:rFonts w:asciiTheme="minorHAnsi" w:eastAsia="Times" w:hAnsiTheme="minorHAnsi" w:cstheme="minorHAnsi"/>
          <w:b/>
          <w:bCs/>
          <w:sz w:val="20"/>
          <w:szCs w:val="20"/>
          <w:lang w:val="fr-FR" w:eastAsia="fr-FR"/>
        </w:rPr>
        <w:t>Rentrée universitaire 2021, soirées étudiantes et weekend d’intégration</w:t>
      </w:r>
    </w:p>
    <w:p w:rsidR="00726956" w:rsidRPr="00254DF9" w:rsidRDefault="00726956" w:rsidP="00726956">
      <w:pPr>
        <w:widowControl/>
        <w:tabs>
          <w:tab w:val="left" w:pos="1628"/>
        </w:tabs>
        <w:autoSpaceDE/>
        <w:autoSpaceDN/>
        <w:ind w:right="282"/>
        <w:jc w:val="both"/>
        <w:rPr>
          <w:rFonts w:asciiTheme="minorHAnsi" w:eastAsia="Calibri" w:hAnsiTheme="minorHAnsi" w:cstheme="minorHAnsi"/>
          <w:b/>
          <w:sz w:val="20"/>
          <w:szCs w:val="20"/>
          <w:lang w:val="fr-FR"/>
        </w:rPr>
      </w:pPr>
    </w:p>
    <w:p w:rsidR="00726956" w:rsidRPr="00254DF9" w:rsidRDefault="00726956" w:rsidP="00726956">
      <w:pPr>
        <w:widowControl/>
        <w:autoSpaceDE/>
        <w:autoSpaceDN/>
        <w:spacing w:line="280" w:lineRule="exact"/>
        <w:ind w:right="282"/>
        <w:jc w:val="both"/>
        <w:rPr>
          <w:rFonts w:asciiTheme="minorHAnsi" w:eastAsia="Times" w:hAnsiTheme="minorHAnsi" w:cstheme="minorHAnsi"/>
          <w:sz w:val="20"/>
          <w:szCs w:val="20"/>
          <w:lang w:val="fr-FR" w:eastAsia="fr-FR"/>
        </w:rPr>
      </w:pPr>
      <w:r w:rsidRPr="00254DF9">
        <w:rPr>
          <w:rFonts w:asciiTheme="minorHAnsi" w:eastAsia="Times" w:hAnsiTheme="minorHAnsi" w:cstheme="minorHAnsi"/>
          <w:sz w:val="20"/>
          <w:szCs w:val="20"/>
          <w:lang w:val="fr-FR" w:eastAsia="fr-FR"/>
        </w:rPr>
        <w:t xml:space="preserve"> </w:t>
      </w:r>
    </w:p>
    <w:p w:rsidR="00726956" w:rsidRPr="00254DF9" w:rsidRDefault="00726956" w:rsidP="00726956">
      <w:pPr>
        <w:widowControl/>
        <w:autoSpaceDE/>
        <w:autoSpaceDN/>
        <w:spacing w:line="280" w:lineRule="exact"/>
        <w:ind w:right="282"/>
        <w:jc w:val="both"/>
        <w:rPr>
          <w:rFonts w:asciiTheme="minorHAnsi" w:eastAsia="Times" w:hAnsiTheme="minorHAnsi" w:cstheme="minorHAnsi"/>
          <w:sz w:val="20"/>
          <w:szCs w:val="20"/>
          <w:lang w:val="fr-FR" w:eastAsia="fr-FR"/>
        </w:rPr>
      </w:pPr>
      <w:r w:rsidRPr="00254DF9">
        <w:rPr>
          <w:rFonts w:asciiTheme="minorHAnsi" w:eastAsia="Times" w:hAnsiTheme="minorHAnsi" w:cstheme="minorHAnsi"/>
          <w:sz w:val="20"/>
          <w:szCs w:val="20"/>
          <w:lang w:val="fr-FR" w:eastAsia="fr-FR"/>
        </w:rPr>
        <w:t xml:space="preserve">Mesdames, Messieurs, </w:t>
      </w:r>
    </w:p>
    <w:p w:rsidR="00726956" w:rsidRDefault="00726956" w:rsidP="00726956">
      <w:pPr>
        <w:widowControl/>
        <w:autoSpaceDE/>
        <w:autoSpaceDN/>
        <w:spacing w:line="280" w:lineRule="exact"/>
        <w:ind w:right="282"/>
        <w:jc w:val="both"/>
        <w:rPr>
          <w:rFonts w:asciiTheme="minorHAnsi" w:eastAsia="Times" w:hAnsiTheme="minorHAnsi" w:cstheme="minorHAnsi"/>
          <w:sz w:val="20"/>
          <w:szCs w:val="20"/>
          <w:lang w:val="fr-FR" w:eastAsia="fr-FR"/>
        </w:rPr>
      </w:pPr>
    </w:p>
    <w:p w:rsid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Si la vaccination des jeunes entre 18 et 24 ans est dynamique et encourageante, nous devons cependant demeurer très vigilant quant à l’évolution de la situation sanitaire qui demeure fragile.</w:t>
      </w:r>
    </w:p>
    <w:p w:rsidR="00CA454B" w:rsidRPr="00C54736" w:rsidRDefault="00CA454B" w:rsidP="00CA454B">
      <w:pPr>
        <w:widowControl/>
        <w:autoSpaceDE/>
        <w:autoSpaceDN/>
        <w:spacing w:line="280" w:lineRule="exact"/>
        <w:ind w:right="284"/>
        <w:jc w:val="both"/>
        <w:rPr>
          <w:rFonts w:asciiTheme="minorHAnsi" w:eastAsia="Times" w:hAnsiTheme="minorHAnsi" w:cstheme="minorHAnsi"/>
          <w:sz w:val="20"/>
          <w:szCs w:val="20"/>
          <w:lang w:val="fr-FR" w:eastAsia="fr-FR"/>
        </w:rPr>
      </w:pPr>
    </w:p>
    <w:p w:rsid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Les principes généraux régissant l’organisation de la rentrée universitaire ont été établis conformé</w:t>
      </w:r>
      <w:r w:rsidR="00EC051B">
        <w:rPr>
          <w:rFonts w:asciiTheme="minorHAnsi" w:eastAsia="Times" w:hAnsiTheme="minorHAnsi" w:cstheme="minorHAnsi"/>
          <w:sz w:val="20"/>
          <w:szCs w:val="20"/>
          <w:lang w:val="fr-FR" w:eastAsia="fr-FR"/>
        </w:rPr>
        <w:t>ment à la circulaire publiée le 5</w:t>
      </w:r>
      <w:r w:rsidRPr="00C54736">
        <w:rPr>
          <w:rFonts w:asciiTheme="minorHAnsi" w:eastAsia="Times" w:hAnsiTheme="minorHAnsi" w:cstheme="minorHAnsi"/>
          <w:sz w:val="20"/>
          <w:szCs w:val="20"/>
          <w:lang w:val="fr-FR" w:eastAsia="fr-FR"/>
        </w:rPr>
        <w:t xml:space="preserve"> août dernier par la direction générale de l’enseignement supérieur et de l’insertion professionnelle ainsi que par l’instruction interministérielle relative à l’organisation de la vaccination dans les campus universitaires. </w:t>
      </w:r>
    </w:p>
    <w:p w:rsidR="00CA454B" w:rsidRPr="00C54736" w:rsidRDefault="00CA454B" w:rsidP="00C54736">
      <w:pPr>
        <w:widowControl/>
        <w:autoSpaceDE/>
        <w:autoSpaceDN/>
        <w:spacing w:line="280" w:lineRule="exact"/>
        <w:ind w:right="282"/>
        <w:jc w:val="both"/>
        <w:rPr>
          <w:rFonts w:asciiTheme="minorHAnsi" w:eastAsia="Times" w:hAnsiTheme="minorHAnsi" w:cstheme="minorHAnsi"/>
          <w:sz w:val="20"/>
          <w:szCs w:val="20"/>
          <w:lang w:val="fr-FR" w:eastAsia="fr-FR"/>
        </w:rPr>
      </w:pPr>
    </w:p>
    <w:p w:rsidR="00C54736" w:rsidRP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Dans le cadre prévu par le décret du 1</w:t>
      </w:r>
      <w:r w:rsidRPr="00C54736">
        <w:rPr>
          <w:rFonts w:asciiTheme="minorHAnsi" w:eastAsia="Times" w:hAnsiTheme="minorHAnsi" w:cstheme="minorHAnsi"/>
          <w:sz w:val="20"/>
          <w:szCs w:val="20"/>
          <w:vertAlign w:val="superscript"/>
          <w:lang w:val="fr-FR" w:eastAsia="fr-FR"/>
        </w:rPr>
        <w:t>er</w:t>
      </w:r>
      <w:r w:rsidRPr="00C54736">
        <w:rPr>
          <w:rFonts w:asciiTheme="minorHAnsi" w:eastAsia="Times" w:hAnsiTheme="minorHAnsi" w:cstheme="minorHAnsi"/>
          <w:sz w:val="20"/>
          <w:szCs w:val="20"/>
          <w:lang w:val="fr-FR" w:eastAsia="fr-FR"/>
        </w:rPr>
        <w:t xml:space="preserve"> juin 2021 modifié, nous devons porter une attention toute spécifique aux évènements de rentrée organisés par les associations étudiantes.</w:t>
      </w:r>
    </w:p>
    <w:p w:rsid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p>
    <w:p w:rsidR="00CA454B" w:rsidRPr="00C54736" w:rsidRDefault="00CA454B" w:rsidP="00C54736">
      <w:pPr>
        <w:widowControl/>
        <w:autoSpaceDE/>
        <w:autoSpaceDN/>
        <w:spacing w:line="280" w:lineRule="exact"/>
        <w:ind w:right="282"/>
        <w:jc w:val="both"/>
        <w:rPr>
          <w:rFonts w:asciiTheme="minorHAnsi" w:eastAsia="Times" w:hAnsiTheme="minorHAnsi" w:cstheme="minorHAnsi"/>
          <w:sz w:val="20"/>
          <w:szCs w:val="20"/>
          <w:lang w:val="fr-FR" w:eastAsia="fr-FR"/>
        </w:rPr>
      </w:pPr>
    </w:p>
    <w:p w:rsidR="00C54736" w:rsidRPr="00C54736" w:rsidRDefault="00C54736" w:rsidP="00C54736">
      <w:pPr>
        <w:widowControl/>
        <w:numPr>
          <w:ilvl w:val="0"/>
          <w:numId w:val="14"/>
        </w:numPr>
        <w:autoSpaceDE/>
        <w:autoSpaceDN/>
        <w:spacing w:line="280" w:lineRule="exact"/>
        <w:ind w:right="282"/>
        <w:jc w:val="both"/>
        <w:rPr>
          <w:rFonts w:asciiTheme="minorHAnsi" w:eastAsia="Times" w:hAnsiTheme="minorHAnsi" w:cstheme="minorHAnsi"/>
          <w:b/>
          <w:bCs/>
          <w:sz w:val="20"/>
          <w:szCs w:val="20"/>
          <w:lang w:val="fr-FR" w:eastAsia="fr-FR"/>
        </w:rPr>
      </w:pPr>
      <w:r w:rsidRPr="00C54736">
        <w:rPr>
          <w:rFonts w:asciiTheme="minorHAnsi" w:eastAsia="Times" w:hAnsiTheme="minorHAnsi" w:cstheme="minorHAnsi"/>
          <w:b/>
          <w:bCs/>
          <w:sz w:val="20"/>
          <w:szCs w:val="20"/>
          <w:lang w:val="fr-FR" w:eastAsia="fr-FR"/>
        </w:rPr>
        <w:t>Exigences sanitaires</w:t>
      </w:r>
    </w:p>
    <w:p w:rsidR="00C54736" w:rsidRPr="00C54736" w:rsidRDefault="00C54736" w:rsidP="00C54736">
      <w:pPr>
        <w:widowControl/>
        <w:autoSpaceDE/>
        <w:autoSpaceDN/>
        <w:spacing w:line="280" w:lineRule="exact"/>
        <w:ind w:right="282"/>
        <w:jc w:val="both"/>
        <w:rPr>
          <w:rFonts w:asciiTheme="minorHAnsi" w:eastAsia="Times" w:hAnsiTheme="minorHAnsi" w:cstheme="minorHAnsi"/>
          <w:b/>
          <w:bCs/>
          <w:sz w:val="20"/>
          <w:szCs w:val="20"/>
          <w:lang w:val="fr-FR" w:eastAsia="fr-FR"/>
        </w:rPr>
      </w:pPr>
    </w:p>
    <w:p w:rsidR="00C54736" w:rsidRP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Pour cette raison, les évènements organisés par des associations étudiantes sont désormais soumis à l’observation d’un certain nombre de règles :</w:t>
      </w:r>
    </w:p>
    <w:p w:rsidR="00C54736" w:rsidRPr="00C54736" w:rsidRDefault="00C54736" w:rsidP="00C54736">
      <w:pPr>
        <w:widowControl/>
        <w:numPr>
          <w:ilvl w:val="0"/>
          <w:numId w:val="13"/>
        </w:numPr>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 xml:space="preserve">Tout événement organisé par les associations étudiantes est désormais soumis au passe sanitaire et au respect du même protocole sanitaire que celui demandé pour des activités comparables notamment celui applicable aux discothèques. </w:t>
      </w:r>
    </w:p>
    <w:p w:rsidR="00C54736" w:rsidRPr="00C54736" w:rsidRDefault="00C54736" w:rsidP="00C54736">
      <w:pPr>
        <w:widowControl/>
        <w:numPr>
          <w:ilvl w:val="0"/>
          <w:numId w:val="13"/>
        </w:numPr>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lastRenderedPageBreak/>
        <w:t>Si l’événement est organisé dans l’enceinte d’un campus universitaires, il doit être préalablement autorisé par le chef d’établissement.</w:t>
      </w:r>
    </w:p>
    <w:p w:rsidR="00C54736" w:rsidRDefault="00C54736" w:rsidP="00CA10D5">
      <w:pPr>
        <w:widowControl/>
        <w:numPr>
          <w:ilvl w:val="0"/>
          <w:numId w:val="13"/>
        </w:numPr>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Si l’évènement est organisé en dehors de l’établissement</w:t>
      </w:r>
      <w:r w:rsidR="00CA10D5">
        <w:rPr>
          <w:rFonts w:asciiTheme="minorHAnsi" w:eastAsia="Times" w:hAnsiTheme="minorHAnsi" w:cstheme="minorHAnsi"/>
          <w:sz w:val="20"/>
          <w:szCs w:val="20"/>
          <w:lang w:val="fr-FR" w:eastAsia="fr-FR"/>
        </w:rPr>
        <w:t xml:space="preserve"> d’enseignement supérieur</w:t>
      </w:r>
      <w:r w:rsidRPr="00C54736">
        <w:rPr>
          <w:rFonts w:asciiTheme="minorHAnsi" w:eastAsia="Times" w:hAnsiTheme="minorHAnsi" w:cstheme="minorHAnsi"/>
          <w:sz w:val="20"/>
          <w:szCs w:val="20"/>
          <w:lang w:val="fr-FR" w:eastAsia="fr-FR"/>
        </w:rPr>
        <w:t xml:space="preserve">, le chef d’établissement doit en être informé et l’événement doit nécessairement se dérouler dans un établissement recevant du public soumis à passe sanitaire (discothèque, bar, restaurant universitaire réservé pour l’événement). </w:t>
      </w:r>
      <w:r w:rsidR="00CA10D5" w:rsidRPr="00C54736">
        <w:rPr>
          <w:rFonts w:asciiTheme="minorHAnsi" w:eastAsia="Times" w:hAnsiTheme="minorHAnsi" w:cstheme="minorHAnsi"/>
          <w:sz w:val="20"/>
          <w:szCs w:val="20"/>
          <w:lang w:val="fr-FR" w:eastAsia="fr-FR"/>
        </w:rPr>
        <w:t>Il est en revanche absolument interdit de l’organiser dans une résidence universitaire.</w:t>
      </w:r>
      <w:r w:rsidR="00CA10D5">
        <w:rPr>
          <w:rFonts w:asciiTheme="minorHAnsi" w:eastAsia="Times" w:hAnsiTheme="minorHAnsi" w:cstheme="minorHAnsi"/>
          <w:sz w:val="20"/>
          <w:szCs w:val="20"/>
          <w:lang w:val="fr-FR" w:eastAsia="fr-FR"/>
        </w:rPr>
        <w:t xml:space="preserve"> </w:t>
      </w:r>
    </w:p>
    <w:p w:rsidR="00CA454B" w:rsidRPr="00C54736" w:rsidRDefault="00CA454B" w:rsidP="00CA454B">
      <w:pPr>
        <w:widowControl/>
        <w:autoSpaceDE/>
        <w:autoSpaceDN/>
        <w:spacing w:line="280" w:lineRule="exact"/>
        <w:ind w:left="720" w:right="282"/>
        <w:jc w:val="both"/>
        <w:rPr>
          <w:rFonts w:asciiTheme="minorHAnsi" w:eastAsia="Times" w:hAnsiTheme="minorHAnsi" w:cstheme="minorHAnsi"/>
          <w:sz w:val="20"/>
          <w:szCs w:val="20"/>
          <w:lang w:val="fr-FR" w:eastAsia="fr-FR"/>
        </w:rPr>
      </w:pPr>
    </w:p>
    <w:p w:rsid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Un protocole spécifique et une fiche de déclaration d’organisation d’évènements accompagnent cette circulaire. Cette fiche est à transmettre au chef d’établissement</w:t>
      </w:r>
      <w:r w:rsidR="00CA10D5">
        <w:rPr>
          <w:rFonts w:asciiTheme="minorHAnsi" w:eastAsia="Times" w:hAnsiTheme="minorHAnsi" w:cstheme="minorHAnsi"/>
          <w:sz w:val="20"/>
          <w:szCs w:val="20"/>
          <w:lang w:val="fr-FR" w:eastAsia="fr-FR"/>
        </w:rPr>
        <w:t xml:space="preserve"> d’enseignement supérieur</w:t>
      </w:r>
      <w:r w:rsidRPr="00C54736">
        <w:rPr>
          <w:rFonts w:asciiTheme="minorHAnsi" w:eastAsia="Times" w:hAnsiTheme="minorHAnsi" w:cstheme="minorHAnsi"/>
          <w:sz w:val="20"/>
          <w:szCs w:val="20"/>
          <w:lang w:val="fr-FR" w:eastAsia="fr-FR"/>
        </w:rPr>
        <w:t xml:space="preserve">, pour autorisation ou information. </w:t>
      </w:r>
      <w:r w:rsidR="00CA10D5" w:rsidRPr="00CA10D5">
        <w:rPr>
          <w:rFonts w:asciiTheme="minorHAnsi" w:eastAsia="Times" w:hAnsiTheme="minorHAnsi" w:cstheme="minorHAnsi"/>
          <w:sz w:val="20"/>
          <w:szCs w:val="20"/>
          <w:lang w:val="fr-FR" w:eastAsia="fr-FR"/>
        </w:rPr>
        <w:t xml:space="preserve">Si l’ERP d’accueil relève d’un CROUS, </w:t>
      </w:r>
      <w:r w:rsidR="00CA10D5">
        <w:rPr>
          <w:rFonts w:asciiTheme="minorHAnsi" w:eastAsia="Times" w:hAnsiTheme="minorHAnsi" w:cstheme="minorHAnsi"/>
          <w:sz w:val="20"/>
          <w:szCs w:val="20"/>
          <w:lang w:val="fr-FR" w:eastAsia="fr-FR"/>
        </w:rPr>
        <w:t>elle</w:t>
      </w:r>
      <w:r w:rsidR="00CA10D5" w:rsidRPr="00CA10D5">
        <w:rPr>
          <w:rFonts w:asciiTheme="minorHAnsi" w:eastAsia="Times" w:hAnsiTheme="minorHAnsi" w:cstheme="minorHAnsi"/>
          <w:sz w:val="20"/>
          <w:szCs w:val="20"/>
          <w:lang w:val="fr-FR" w:eastAsia="fr-FR"/>
        </w:rPr>
        <w:t xml:space="preserve"> doit également être communiquée au directeur général du CROUS.</w:t>
      </w:r>
      <w:r w:rsidR="00CA10D5">
        <w:rPr>
          <w:rFonts w:asciiTheme="minorHAnsi" w:eastAsia="Times" w:hAnsiTheme="minorHAnsi" w:cstheme="minorHAnsi"/>
          <w:sz w:val="20"/>
          <w:szCs w:val="20"/>
          <w:lang w:val="fr-FR" w:eastAsia="fr-FR"/>
        </w:rPr>
        <w:t xml:space="preserve"> </w:t>
      </w:r>
      <w:r w:rsidR="00CA10D5">
        <w:rPr>
          <w:rFonts w:asciiTheme="minorHAnsi" w:eastAsia="Times" w:hAnsiTheme="minorHAnsi" w:cstheme="minorHAnsi"/>
          <w:sz w:val="20"/>
          <w:szCs w:val="20"/>
          <w:lang w:val="fr-FR" w:eastAsia="fr-FR"/>
        </w:rPr>
        <w:t>La fiche</w:t>
      </w:r>
      <w:r w:rsidRPr="00C54736">
        <w:rPr>
          <w:rFonts w:asciiTheme="minorHAnsi" w:eastAsia="Times" w:hAnsiTheme="minorHAnsi" w:cstheme="minorHAnsi"/>
          <w:sz w:val="20"/>
          <w:szCs w:val="20"/>
          <w:lang w:val="fr-FR" w:eastAsia="fr-FR"/>
        </w:rPr>
        <w:t xml:space="preserve"> permet </w:t>
      </w:r>
      <w:bookmarkStart w:id="0" w:name="_GoBack"/>
      <w:bookmarkEnd w:id="0"/>
      <w:r w:rsidRPr="00C54736">
        <w:rPr>
          <w:rFonts w:asciiTheme="minorHAnsi" w:eastAsia="Times" w:hAnsiTheme="minorHAnsi" w:cstheme="minorHAnsi"/>
          <w:sz w:val="20"/>
          <w:szCs w:val="20"/>
          <w:lang w:val="fr-FR" w:eastAsia="fr-FR"/>
        </w:rPr>
        <w:t xml:space="preserve">une meilleure anticipation des risques et souligne les points de vigilance essentiels. </w:t>
      </w:r>
    </w:p>
    <w:p w:rsidR="00CA454B" w:rsidRPr="00C54736" w:rsidRDefault="00CA454B" w:rsidP="00C54736">
      <w:pPr>
        <w:widowControl/>
        <w:autoSpaceDE/>
        <w:autoSpaceDN/>
        <w:spacing w:line="280" w:lineRule="exact"/>
        <w:ind w:right="282"/>
        <w:jc w:val="both"/>
        <w:rPr>
          <w:rFonts w:asciiTheme="minorHAnsi" w:eastAsia="Times" w:hAnsiTheme="minorHAnsi" w:cstheme="minorHAnsi"/>
          <w:sz w:val="20"/>
          <w:szCs w:val="20"/>
          <w:lang w:val="fr-FR" w:eastAsia="fr-FR"/>
        </w:rPr>
      </w:pPr>
    </w:p>
    <w:p w:rsid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Dans toutes les hypothèses et quel que soit le lieu dans lequel l’événement se déroulera, les associations organisatrices des événements seront responsables de la bonne mise en œuvre des consignes sanitaires.</w:t>
      </w:r>
    </w:p>
    <w:p w:rsidR="00CA454B" w:rsidRPr="00C54736" w:rsidRDefault="00CA454B" w:rsidP="00C54736">
      <w:pPr>
        <w:widowControl/>
        <w:autoSpaceDE/>
        <w:autoSpaceDN/>
        <w:spacing w:line="280" w:lineRule="exact"/>
        <w:ind w:right="282"/>
        <w:jc w:val="both"/>
        <w:rPr>
          <w:rFonts w:asciiTheme="minorHAnsi" w:eastAsia="Times" w:hAnsiTheme="minorHAnsi" w:cstheme="minorHAnsi"/>
          <w:sz w:val="20"/>
          <w:szCs w:val="20"/>
          <w:lang w:val="fr-FR" w:eastAsia="fr-FR"/>
        </w:rPr>
      </w:pPr>
    </w:p>
    <w:p w:rsid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L’ensemble de ces mesures doit être partagé et diffusé le plus en amont possible, y compris auprès des étudiants relais santé qui peuvent être utilement mobilisés pour la préparation et l’accompagnement de ces événements. Il vous est demandé de réunir dans les meilleurs délais les associations étudiantes afin de les informer de ce cadre et d’échanger à ce sujet.</w:t>
      </w:r>
    </w:p>
    <w:p w:rsidR="00CA454B" w:rsidRPr="00C54736" w:rsidRDefault="00CA454B" w:rsidP="00C54736">
      <w:pPr>
        <w:widowControl/>
        <w:autoSpaceDE/>
        <w:autoSpaceDN/>
        <w:spacing w:line="280" w:lineRule="exact"/>
        <w:ind w:right="282"/>
        <w:jc w:val="both"/>
        <w:rPr>
          <w:rFonts w:asciiTheme="minorHAnsi" w:eastAsia="Times" w:hAnsiTheme="minorHAnsi" w:cstheme="minorHAnsi"/>
          <w:sz w:val="20"/>
          <w:szCs w:val="20"/>
          <w:lang w:val="fr-FR" w:eastAsia="fr-FR"/>
        </w:rPr>
      </w:pPr>
    </w:p>
    <w:p w:rsidR="00C54736" w:rsidRP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Il est attendu de la part de l’ensemble des chefs d’établissements la plus grande rigueur afin de sanctionner tout manquement aux règles de ce protocole. A défaut de respect des principes ci-dessus, les associations pourront se voir retirer la domiciliation au sein de l’établissement, interdire la mise à disposition d’un local, refuser l’allocation de moyens et les établissements pourront exiger le remboursement de la ou des subventions allouées. Par ailleurs, les responsables de l’association et les organisateurs de l’événement engagent leur responsabilité pénale et s’exposent à des sanctions disciplinaires.</w:t>
      </w:r>
    </w:p>
    <w:p w:rsid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p>
    <w:p w:rsidR="00CA454B" w:rsidRDefault="00CA454B" w:rsidP="00C54736">
      <w:pPr>
        <w:widowControl/>
        <w:autoSpaceDE/>
        <w:autoSpaceDN/>
        <w:spacing w:line="280" w:lineRule="exact"/>
        <w:ind w:right="282"/>
        <w:jc w:val="both"/>
        <w:rPr>
          <w:rFonts w:asciiTheme="minorHAnsi" w:eastAsia="Times" w:hAnsiTheme="minorHAnsi" w:cstheme="minorHAnsi"/>
          <w:sz w:val="20"/>
          <w:szCs w:val="20"/>
          <w:lang w:val="fr-FR" w:eastAsia="fr-FR"/>
        </w:rPr>
      </w:pPr>
    </w:p>
    <w:p w:rsidR="00C54736" w:rsidRDefault="00C54736" w:rsidP="00C54736">
      <w:pPr>
        <w:widowControl/>
        <w:numPr>
          <w:ilvl w:val="0"/>
          <w:numId w:val="14"/>
        </w:numPr>
        <w:autoSpaceDE/>
        <w:autoSpaceDN/>
        <w:spacing w:line="280" w:lineRule="exact"/>
        <w:ind w:right="282"/>
        <w:jc w:val="both"/>
        <w:rPr>
          <w:rFonts w:asciiTheme="minorHAnsi" w:eastAsia="Times" w:hAnsiTheme="minorHAnsi" w:cstheme="minorHAnsi"/>
          <w:b/>
          <w:bCs/>
          <w:sz w:val="20"/>
          <w:szCs w:val="20"/>
          <w:lang w:val="fr-FR" w:eastAsia="fr-FR"/>
        </w:rPr>
      </w:pPr>
      <w:r w:rsidRPr="00C54736">
        <w:rPr>
          <w:rFonts w:asciiTheme="minorHAnsi" w:eastAsia="Times" w:hAnsiTheme="minorHAnsi" w:cstheme="minorHAnsi"/>
          <w:b/>
          <w:bCs/>
          <w:sz w:val="20"/>
          <w:szCs w:val="20"/>
          <w:lang w:val="fr-FR" w:eastAsia="fr-FR"/>
        </w:rPr>
        <w:t>Interdiction du bizutage et des violences sexuelles ou sexistes, vigilance quant à la consommation d’alcool</w:t>
      </w:r>
    </w:p>
    <w:p w:rsidR="00C54736" w:rsidRPr="00C54736" w:rsidRDefault="00C54736" w:rsidP="00C54736">
      <w:pPr>
        <w:widowControl/>
        <w:autoSpaceDE/>
        <w:autoSpaceDN/>
        <w:spacing w:line="280" w:lineRule="exact"/>
        <w:ind w:left="720" w:right="282"/>
        <w:jc w:val="both"/>
        <w:rPr>
          <w:rFonts w:asciiTheme="minorHAnsi" w:eastAsia="Times" w:hAnsiTheme="minorHAnsi" w:cstheme="minorHAnsi"/>
          <w:b/>
          <w:bCs/>
          <w:sz w:val="20"/>
          <w:szCs w:val="20"/>
          <w:lang w:val="fr-FR" w:eastAsia="fr-FR"/>
        </w:rPr>
      </w:pPr>
    </w:p>
    <w:p w:rsidR="00C54736" w:rsidRP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Au-delà du risque sanitaire lié à l’épidémie de Covid-19, nous devons maintenir la plus grande vigilance et la plus grande fermeté quant aux autres risques liés à certains évènements de rentrée : bizutage, violences sexuelles ou sexistes, risques liés à la consommation d’alcool et de stupéfiants.</w:t>
      </w:r>
    </w:p>
    <w:p w:rsid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p>
    <w:p w:rsidR="00CA454B" w:rsidRPr="00C54736" w:rsidRDefault="00CA454B" w:rsidP="00C54736">
      <w:pPr>
        <w:widowControl/>
        <w:autoSpaceDE/>
        <w:autoSpaceDN/>
        <w:spacing w:line="280" w:lineRule="exact"/>
        <w:ind w:right="282"/>
        <w:jc w:val="both"/>
        <w:rPr>
          <w:rFonts w:asciiTheme="minorHAnsi" w:eastAsia="Times" w:hAnsiTheme="minorHAnsi" w:cstheme="minorHAnsi"/>
          <w:sz w:val="20"/>
          <w:szCs w:val="20"/>
          <w:lang w:val="fr-FR" w:eastAsia="fr-FR"/>
        </w:rPr>
      </w:pPr>
    </w:p>
    <w:p w:rsid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L’ensemble de ces règles constitue la condition nécessaire pour permettre à la rentrée de se dérouler de la manière la plus sereine possible et à la vie étudiante de reprendre dans de bonnes conditions. Je sais pouvoir compter sur votre mobilisation et votre engagement au service de l’enseignement supérieur, de la vie étudiante et naturellement, des étudiantes et des étudiants.</w:t>
      </w:r>
    </w:p>
    <w:p w:rsidR="00CA454B" w:rsidRPr="00C54736" w:rsidRDefault="00CA454B" w:rsidP="00C54736">
      <w:pPr>
        <w:widowControl/>
        <w:autoSpaceDE/>
        <w:autoSpaceDN/>
        <w:spacing w:line="280" w:lineRule="exact"/>
        <w:ind w:right="282"/>
        <w:jc w:val="both"/>
        <w:rPr>
          <w:rFonts w:asciiTheme="minorHAnsi" w:eastAsia="Times" w:hAnsiTheme="minorHAnsi" w:cstheme="minorHAnsi"/>
          <w:sz w:val="20"/>
          <w:szCs w:val="20"/>
          <w:lang w:val="fr-FR" w:eastAsia="fr-FR"/>
        </w:rPr>
      </w:pPr>
    </w:p>
    <w:p w:rsidR="00C54736" w:rsidRPr="00C54736" w:rsidRDefault="00C54736" w:rsidP="00C54736">
      <w:pPr>
        <w:widowControl/>
        <w:autoSpaceDE/>
        <w:autoSpaceDN/>
        <w:spacing w:line="280" w:lineRule="exact"/>
        <w:ind w:right="282"/>
        <w:jc w:val="both"/>
        <w:rPr>
          <w:rFonts w:asciiTheme="minorHAnsi" w:eastAsia="Times" w:hAnsiTheme="minorHAnsi" w:cstheme="minorHAnsi"/>
          <w:sz w:val="20"/>
          <w:szCs w:val="20"/>
          <w:lang w:val="fr-FR" w:eastAsia="fr-FR"/>
        </w:rPr>
      </w:pPr>
      <w:r w:rsidRPr="00C54736">
        <w:rPr>
          <w:rFonts w:asciiTheme="minorHAnsi" w:eastAsia="Times" w:hAnsiTheme="minorHAnsi" w:cstheme="minorHAnsi"/>
          <w:sz w:val="20"/>
          <w:szCs w:val="20"/>
          <w:lang w:val="fr-FR" w:eastAsia="fr-FR"/>
        </w:rPr>
        <w:t>En vous renouvelant tous mes remerciements dans cette période que je sais particulièrement difficile, je vous prie de croire, Mesdames et Messieurs, en l’expression de ma plus haute considération.</w:t>
      </w:r>
    </w:p>
    <w:p w:rsidR="00C54736" w:rsidRPr="00254DF9" w:rsidRDefault="00C54736" w:rsidP="00726956">
      <w:pPr>
        <w:widowControl/>
        <w:autoSpaceDE/>
        <w:autoSpaceDN/>
        <w:spacing w:line="280" w:lineRule="exact"/>
        <w:ind w:right="282"/>
        <w:jc w:val="both"/>
        <w:rPr>
          <w:rFonts w:asciiTheme="minorHAnsi" w:eastAsia="Times" w:hAnsiTheme="minorHAnsi" w:cstheme="minorHAnsi"/>
          <w:sz w:val="20"/>
          <w:szCs w:val="20"/>
          <w:lang w:val="fr-FR" w:eastAsia="fr-FR"/>
        </w:rPr>
      </w:pPr>
    </w:p>
    <w:sectPr w:rsidR="00C54736" w:rsidRPr="00254DF9" w:rsidSect="002C53DF">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688" w:rsidRDefault="00121688" w:rsidP="0079276E">
      <w:r>
        <w:separator/>
      </w:r>
    </w:p>
  </w:endnote>
  <w:endnote w:type="continuationSeparator" w:id="0">
    <w:p w:rsidR="00121688" w:rsidRDefault="0012168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70796604"/>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CA10D5">
          <w:rPr>
            <w:rStyle w:val="Numrodepage"/>
            <w:noProof/>
            <w:sz w:val="14"/>
            <w:szCs w:val="14"/>
            <w:lang w:val="fr-FR"/>
          </w:rPr>
          <w:t>2</w:t>
        </w:r>
        <w:r w:rsidRPr="002C53DF">
          <w:rPr>
            <w:rStyle w:val="Numrodepage"/>
            <w:sz w:val="14"/>
            <w:szCs w:val="14"/>
          </w:rPr>
          <w:fldChar w:fldCharType="end"/>
        </w:r>
      </w:p>
    </w:sdtContent>
  </w:sdt>
  <w:p w:rsidR="002C53DF" w:rsidRPr="00847039" w:rsidRDefault="002C53DF" w:rsidP="00E0193A">
    <w:pPr>
      <w:pStyle w:val="PieddePage0"/>
      <w:spacing w:line="240" w:lineRule="auto"/>
      <w:rPr>
        <w:sz w:val="16"/>
        <w:szCs w:val="16"/>
      </w:rPr>
    </w:pPr>
  </w:p>
  <w:p w:rsidR="00AF42A7" w:rsidRDefault="00AF42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688" w:rsidRDefault="00121688" w:rsidP="0079276E">
      <w:r>
        <w:separator/>
      </w:r>
    </w:p>
  </w:footnote>
  <w:footnote w:type="continuationSeparator" w:id="0">
    <w:p w:rsidR="00121688" w:rsidRDefault="0012168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1200FD" w:rsidP="00930B38">
    <w:pPr>
      <w:pStyle w:val="En-tte"/>
      <w:tabs>
        <w:tab w:val="clear" w:pos="4513"/>
      </w:tabs>
      <w:jc w:val="right"/>
      <w:rPr>
        <w:b/>
        <w:bCs/>
        <w:sz w:val="24"/>
        <w:szCs w:val="24"/>
      </w:rPr>
    </w:pPr>
    <w:r>
      <w:rPr>
        <w:noProof/>
        <w:lang w:val="fr-FR" w:eastAsia="fr-FR"/>
      </w:rPr>
      <w:drawing>
        <wp:anchor distT="0" distB="0" distL="114300" distR="114300" simplePos="0" relativeHeight="251661312" behindDoc="0" locked="0" layoutInCell="1" allowOverlap="1" wp14:anchorId="31FF2E13" wp14:editId="25975EC7">
          <wp:simplePos x="0" y="0"/>
          <wp:positionH relativeFrom="column">
            <wp:posOffset>-146685</wp:posOffset>
          </wp:positionH>
          <wp:positionV relativeFrom="paragraph">
            <wp:posOffset>2540</wp:posOffset>
          </wp:positionV>
          <wp:extent cx="1950456" cy="1620000"/>
          <wp:effectExtent l="0" t="0" r="571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950456" cy="162000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936E45" w:rsidRDefault="006A4ADA" w:rsidP="00936E45">
    <w:pPr>
      <w:pStyle w:val="ServiceInfoHeader"/>
      <w:rPr>
        <w:lang w:val="fr-FR"/>
      </w:rPr>
    </w:pPr>
    <w:r>
      <w:rPr>
        <w:lang w:val="fr-FR"/>
      </w:rPr>
      <w:t>Direction générale</w:t>
    </w:r>
  </w:p>
  <w:p w:rsidR="008467E7" w:rsidRDefault="00CE16E3" w:rsidP="0042101F">
    <w:pPr>
      <w:pStyle w:val="ServiceInfoHeader"/>
      <w:rPr>
        <w:lang w:val="fr-FR"/>
      </w:rPr>
    </w:pPr>
    <w:proofErr w:type="gramStart"/>
    <w:r>
      <w:rPr>
        <w:lang w:val="fr-FR"/>
      </w:rPr>
      <w:t>d</w:t>
    </w:r>
    <w:r w:rsidR="006A4ADA">
      <w:rPr>
        <w:lang w:val="fr-FR"/>
      </w:rPr>
      <w:t>e</w:t>
    </w:r>
    <w:proofErr w:type="gramEnd"/>
    <w:r w:rsidR="006A4ADA">
      <w:rPr>
        <w:lang w:val="fr-FR"/>
      </w:rPr>
      <w:t xml:space="preserve"> l’enseignement </w:t>
    </w:r>
    <w:r w:rsidR="008467E7">
      <w:rPr>
        <w:lang w:val="fr-FR"/>
      </w:rPr>
      <w:t xml:space="preserve">supérieur </w:t>
    </w:r>
  </w:p>
  <w:p w:rsidR="0079276E" w:rsidRPr="00936E45" w:rsidRDefault="008467E7" w:rsidP="0042101F">
    <w:pPr>
      <w:pStyle w:val="ServiceInfoHeader"/>
      <w:rPr>
        <w:lang w:val="fr-FR"/>
      </w:rPr>
    </w:pPr>
    <w:proofErr w:type="gramStart"/>
    <w:r>
      <w:rPr>
        <w:lang w:val="fr-FR"/>
      </w:rPr>
      <w:t>et</w:t>
    </w:r>
    <w:proofErr w:type="gramEnd"/>
    <w:r>
      <w:rPr>
        <w:lang w:val="fr-FR"/>
      </w:rPr>
      <w:t xml:space="preserve"> de l’insertion professionnelle</w:t>
    </w: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p w:rsidR="00AF42A7" w:rsidRDefault="00AF42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76B"/>
    <w:multiLevelType w:val="hybridMultilevel"/>
    <w:tmpl w:val="472839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E1371E"/>
    <w:multiLevelType w:val="hybridMultilevel"/>
    <w:tmpl w:val="55FAACB6"/>
    <w:lvl w:ilvl="0" w:tplc="444EC058">
      <w:numFmt w:val="bullet"/>
      <w:lvlText w:val="-"/>
      <w:lvlJc w:val="left"/>
      <w:pPr>
        <w:ind w:left="1288" w:hanging="360"/>
      </w:pPr>
      <w:rPr>
        <w:rFonts w:ascii="Times New Roman" w:eastAsia="Times New Roman" w:hAnsi="Times New Roman"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D54CE"/>
    <w:multiLevelType w:val="multilevel"/>
    <w:tmpl w:val="42F89A3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D066BAC"/>
    <w:multiLevelType w:val="hybridMultilevel"/>
    <w:tmpl w:val="8B00E222"/>
    <w:lvl w:ilvl="0" w:tplc="7570C5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E06270"/>
    <w:multiLevelType w:val="hybridMultilevel"/>
    <w:tmpl w:val="3E1C4376"/>
    <w:lvl w:ilvl="0" w:tplc="36826BA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49B97508"/>
    <w:multiLevelType w:val="hybridMultilevel"/>
    <w:tmpl w:val="5F0608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C17A5C"/>
    <w:multiLevelType w:val="hybridMultilevel"/>
    <w:tmpl w:val="FF3EA76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597808A5"/>
    <w:multiLevelType w:val="hybridMultilevel"/>
    <w:tmpl w:val="96AEFDAE"/>
    <w:lvl w:ilvl="0" w:tplc="358A5AB0">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8345F4"/>
    <w:multiLevelType w:val="hybridMultilevel"/>
    <w:tmpl w:val="C8EEF7B4"/>
    <w:lvl w:ilvl="0" w:tplc="B3EE3E42">
      <w:numFmt w:val="bullet"/>
      <w:lvlText w:val=""/>
      <w:lvlJc w:val="left"/>
      <w:pPr>
        <w:ind w:left="720" w:hanging="360"/>
      </w:pPr>
      <w:rPr>
        <w:rFonts w:ascii="Symbol" w:eastAsia="Aria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AF6F50"/>
    <w:multiLevelType w:val="hybridMultilevel"/>
    <w:tmpl w:val="50AC31D6"/>
    <w:lvl w:ilvl="0" w:tplc="00064BEA">
      <w:start w:val="1"/>
      <w:numFmt w:val="bullet"/>
      <w:lvlText w:val="-"/>
      <w:lvlJc w:val="left"/>
      <w:pPr>
        <w:ind w:left="786" w:hanging="360"/>
      </w:pPr>
      <w:rPr>
        <w:rFonts w:ascii="Calibri" w:hAnsi="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5"/>
  </w:num>
  <w:num w:numId="6">
    <w:abstractNumId w:val="3"/>
  </w:num>
  <w:num w:numId="7">
    <w:abstractNumId w:val="4"/>
  </w:num>
  <w:num w:numId="8">
    <w:abstractNumId w:val="7"/>
  </w:num>
  <w:num w:numId="9">
    <w:abstractNumId w:val="11"/>
  </w:num>
  <w:num w:numId="10">
    <w:abstractNumId w:val="1"/>
  </w:num>
  <w:num w:numId="11">
    <w:abstractNumId w:val="10"/>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45DCD"/>
    <w:rsid w:val="00046EC0"/>
    <w:rsid w:val="00057E30"/>
    <w:rsid w:val="00081F5E"/>
    <w:rsid w:val="000924D0"/>
    <w:rsid w:val="000B219E"/>
    <w:rsid w:val="001200FD"/>
    <w:rsid w:val="00121688"/>
    <w:rsid w:val="0012337B"/>
    <w:rsid w:val="001648E4"/>
    <w:rsid w:val="001C4D17"/>
    <w:rsid w:val="001C79E5"/>
    <w:rsid w:val="001D6095"/>
    <w:rsid w:val="001F086F"/>
    <w:rsid w:val="001F209A"/>
    <w:rsid w:val="00202B2A"/>
    <w:rsid w:val="00254DF9"/>
    <w:rsid w:val="002736D1"/>
    <w:rsid w:val="0028446E"/>
    <w:rsid w:val="002866B9"/>
    <w:rsid w:val="00290741"/>
    <w:rsid w:val="00290CE8"/>
    <w:rsid w:val="00293194"/>
    <w:rsid w:val="002C1432"/>
    <w:rsid w:val="002C53DF"/>
    <w:rsid w:val="002E2B86"/>
    <w:rsid w:val="003240AC"/>
    <w:rsid w:val="00356FB4"/>
    <w:rsid w:val="0037436A"/>
    <w:rsid w:val="003A5B0C"/>
    <w:rsid w:val="003A7BC3"/>
    <w:rsid w:val="003C7021"/>
    <w:rsid w:val="003D1DE1"/>
    <w:rsid w:val="003F2312"/>
    <w:rsid w:val="00407845"/>
    <w:rsid w:val="0042101F"/>
    <w:rsid w:val="004529DA"/>
    <w:rsid w:val="00452D76"/>
    <w:rsid w:val="004608CD"/>
    <w:rsid w:val="004936AF"/>
    <w:rsid w:val="004B591F"/>
    <w:rsid w:val="004C7346"/>
    <w:rsid w:val="004D0D46"/>
    <w:rsid w:val="004D1619"/>
    <w:rsid w:val="004E1512"/>
    <w:rsid w:val="004E7415"/>
    <w:rsid w:val="004F3967"/>
    <w:rsid w:val="00504581"/>
    <w:rsid w:val="00521BCD"/>
    <w:rsid w:val="0052417C"/>
    <w:rsid w:val="00533FB0"/>
    <w:rsid w:val="00544729"/>
    <w:rsid w:val="00552B18"/>
    <w:rsid w:val="00570EA5"/>
    <w:rsid w:val="0057177D"/>
    <w:rsid w:val="005972E3"/>
    <w:rsid w:val="005B11B6"/>
    <w:rsid w:val="005B6F0D"/>
    <w:rsid w:val="005C4846"/>
    <w:rsid w:val="005D4779"/>
    <w:rsid w:val="005F2E98"/>
    <w:rsid w:val="005F469D"/>
    <w:rsid w:val="00601526"/>
    <w:rsid w:val="00625D93"/>
    <w:rsid w:val="00651077"/>
    <w:rsid w:val="006600E0"/>
    <w:rsid w:val="006859B0"/>
    <w:rsid w:val="006A4ADA"/>
    <w:rsid w:val="006D502A"/>
    <w:rsid w:val="006E4B54"/>
    <w:rsid w:val="006E514F"/>
    <w:rsid w:val="006F3036"/>
    <w:rsid w:val="006F3C0C"/>
    <w:rsid w:val="00710248"/>
    <w:rsid w:val="00713ED0"/>
    <w:rsid w:val="0072624A"/>
    <w:rsid w:val="00726956"/>
    <w:rsid w:val="007734EB"/>
    <w:rsid w:val="0078254B"/>
    <w:rsid w:val="0079276E"/>
    <w:rsid w:val="007B4F8D"/>
    <w:rsid w:val="007B6F11"/>
    <w:rsid w:val="007E2D34"/>
    <w:rsid w:val="007F1724"/>
    <w:rsid w:val="00807CCD"/>
    <w:rsid w:val="0081060F"/>
    <w:rsid w:val="0081418A"/>
    <w:rsid w:val="00822782"/>
    <w:rsid w:val="00831A5D"/>
    <w:rsid w:val="008467E7"/>
    <w:rsid w:val="00847039"/>
    <w:rsid w:val="00851458"/>
    <w:rsid w:val="00857FCD"/>
    <w:rsid w:val="00860B4A"/>
    <w:rsid w:val="0086158A"/>
    <w:rsid w:val="008A73FE"/>
    <w:rsid w:val="008B278D"/>
    <w:rsid w:val="00901C82"/>
    <w:rsid w:val="00930B38"/>
    <w:rsid w:val="00936712"/>
    <w:rsid w:val="00936E45"/>
    <w:rsid w:val="00941377"/>
    <w:rsid w:val="00992DBA"/>
    <w:rsid w:val="00994E08"/>
    <w:rsid w:val="009B2F24"/>
    <w:rsid w:val="009C0C96"/>
    <w:rsid w:val="009D70B7"/>
    <w:rsid w:val="009F56A7"/>
    <w:rsid w:val="00A040CD"/>
    <w:rsid w:val="00A10538"/>
    <w:rsid w:val="00A10A83"/>
    <w:rsid w:val="00A124A0"/>
    <w:rsid w:val="00A1486F"/>
    <w:rsid w:val="00A30EA6"/>
    <w:rsid w:val="00A31812"/>
    <w:rsid w:val="00A82CC4"/>
    <w:rsid w:val="00A84CCB"/>
    <w:rsid w:val="00A97330"/>
    <w:rsid w:val="00AC0BF5"/>
    <w:rsid w:val="00AC4569"/>
    <w:rsid w:val="00AE48FE"/>
    <w:rsid w:val="00AF1AF1"/>
    <w:rsid w:val="00AF1D5B"/>
    <w:rsid w:val="00AF42A7"/>
    <w:rsid w:val="00B05FE5"/>
    <w:rsid w:val="00B23EB3"/>
    <w:rsid w:val="00B37451"/>
    <w:rsid w:val="00B46AF7"/>
    <w:rsid w:val="00B55B58"/>
    <w:rsid w:val="00C041AF"/>
    <w:rsid w:val="00C220A3"/>
    <w:rsid w:val="00C34F00"/>
    <w:rsid w:val="00C54736"/>
    <w:rsid w:val="00C66322"/>
    <w:rsid w:val="00C67312"/>
    <w:rsid w:val="00C7451D"/>
    <w:rsid w:val="00CA10D5"/>
    <w:rsid w:val="00CA454B"/>
    <w:rsid w:val="00CA73B6"/>
    <w:rsid w:val="00CB69EA"/>
    <w:rsid w:val="00CC62D4"/>
    <w:rsid w:val="00CD5E65"/>
    <w:rsid w:val="00CE16E3"/>
    <w:rsid w:val="00CE1BE6"/>
    <w:rsid w:val="00D10C52"/>
    <w:rsid w:val="00D153C1"/>
    <w:rsid w:val="00D4656D"/>
    <w:rsid w:val="00D469EA"/>
    <w:rsid w:val="00D96935"/>
    <w:rsid w:val="00DA2090"/>
    <w:rsid w:val="00DD2AC2"/>
    <w:rsid w:val="00DD50D6"/>
    <w:rsid w:val="00E0193A"/>
    <w:rsid w:val="00E05336"/>
    <w:rsid w:val="00E31539"/>
    <w:rsid w:val="00E669F0"/>
    <w:rsid w:val="00E753F9"/>
    <w:rsid w:val="00E94A5E"/>
    <w:rsid w:val="00EC051B"/>
    <w:rsid w:val="00EC4232"/>
    <w:rsid w:val="00EE24E0"/>
    <w:rsid w:val="00EF2203"/>
    <w:rsid w:val="00EF5CF0"/>
    <w:rsid w:val="00F0214A"/>
    <w:rsid w:val="00F043B7"/>
    <w:rsid w:val="00F21665"/>
    <w:rsid w:val="00F22CF7"/>
    <w:rsid w:val="00F2464C"/>
    <w:rsid w:val="00F25156"/>
    <w:rsid w:val="00F25DA3"/>
    <w:rsid w:val="00F25E2C"/>
    <w:rsid w:val="00F261BB"/>
    <w:rsid w:val="00F361C1"/>
    <w:rsid w:val="00F51BDA"/>
    <w:rsid w:val="00F542FC"/>
    <w:rsid w:val="00F7722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7EEC4"/>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aliases w:val="Dot pt,No Spacing1,List Paragraph Char Char Char,Indicator Text,List Paragraph1,Numbered Para 1,Colorful List - Accent 11,Bullet 1,F5 List Paragraph,Bullet Points,Normal Fv,lp1,Paragraphe de liste serré,Sémaphores Puces"/>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brut">
    <w:name w:val="Plain Text"/>
    <w:basedOn w:val="Normal"/>
    <w:link w:val="TextebrutCar"/>
    <w:uiPriority w:val="99"/>
    <w:unhideWhenUsed/>
    <w:rsid w:val="00994E08"/>
    <w:rPr>
      <w:rFonts w:ascii="Consolas" w:hAnsi="Consolas"/>
      <w:sz w:val="21"/>
      <w:szCs w:val="21"/>
    </w:rPr>
  </w:style>
  <w:style w:type="character" w:customStyle="1" w:styleId="TextebrutCar">
    <w:name w:val="Texte brut Car"/>
    <w:basedOn w:val="Policepardfaut"/>
    <w:link w:val="Textebrut"/>
    <w:uiPriority w:val="99"/>
    <w:rsid w:val="00994E08"/>
    <w:rPr>
      <w:rFonts w:ascii="Consolas" w:hAnsi="Consolas"/>
      <w:sz w:val="21"/>
      <w:szCs w:val="21"/>
    </w:rPr>
  </w:style>
  <w:style w:type="paragraph" w:styleId="Commentaire">
    <w:name w:val="annotation text"/>
    <w:basedOn w:val="Normal"/>
    <w:link w:val="CommentaireCar"/>
    <w:semiHidden/>
    <w:rsid w:val="00994E08"/>
    <w:pPr>
      <w:widowControl/>
      <w:autoSpaceDE/>
      <w:autoSpaceDN/>
    </w:pPr>
    <w:rPr>
      <w:rFonts w:ascii="Verdana" w:eastAsia="Times" w:hAnsi="Verdana" w:cs="Times New Roman"/>
      <w:sz w:val="20"/>
      <w:szCs w:val="20"/>
      <w:lang w:val="fr-FR" w:eastAsia="fr-FR"/>
    </w:rPr>
  </w:style>
  <w:style w:type="character" w:customStyle="1" w:styleId="CommentaireCar">
    <w:name w:val="Commentaire Car"/>
    <w:basedOn w:val="Policepardfaut"/>
    <w:link w:val="Commentaire"/>
    <w:semiHidden/>
    <w:rsid w:val="00994E08"/>
    <w:rPr>
      <w:rFonts w:ascii="Verdana" w:eastAsia="Times" w:hAnsi="Verdana" w:cs="Times New Roman"/>
      <w:sz w:val="20"/>
      <w:szCs w:val="20"/>
      <w:lang w:val="fr-FR" w:eastAsia="fr-FR"/>
    </w:rPr>
  </w:style>
  <w:style w:type="paragraph" w:styleId="Notedebasdepage">
    <w:name w:val="footnote text"/>
    <w:basedOn w:val="Normal"/>
    <w:link w:val="NotedebasdepageCar"/>
    <w:rsid w:val="00994E08"/>
    <w:pPr>
      <w:widowControl/>
      <w:autoSpaceDE/>
      <w:autoSpaceDN/>
    </w:pPr>
    <w:rPr>
      <w:rFonts w:ascii="Verdana" w:eastAsia="Times" w:hAnsi="Verdana" w:cs="Times New Roman"/>
      <w:sz w:val="20"/>
      <w:szCs w:val="20"/>
      <w:lang w:val="fr-FR" w:eastAsia="fr-FR"/>
    </w:rPr>
  </w:style>
  <w:style w:type="character" w:customStyle="1" w:styleId="NotedebasdepageCar">
    <w:name w:val="Note de bas de page Car"/>
    <w:basedOn w:val="Policepardfaut"/>
    <w:link w:val="Notedebasdepage"/>
    <w:rsid w:val="00994E08"/>
    <w:rPr>
      <w:rFonts w:ascii="Verdana" w:eastAsia="Times" w:hAnsi="Verdana" w:cs="Times New Roman"/>
      <w:sz w:val="20"/>
      <w:szCs w:val="20"/>
      <w:lang w:val="fr-FR" w:eastAsia="fr-FR"/>
    </w:rPr>
  </w:style>
  <w:style w:type="character" w:styleId="Appelnotedebasdep">
    <w:name w:val="footnote reference"/>
    <w:rsid w:val="00994E08"/>
    <w:rPr>
      <w:vertAlign w:val="superscript"/>
    </w:rPr>
  </w:style>
  <w:style w:type="paragraph" w:styleId="Textedebulles">
    <w:name w:val="Balloon Text"/>
    <w:basedOn w:val="Normal"/>
    <w:link w:val="TextedebullesCar"/>
    <w:uiPriority w:val="99"/>
    <w:semiHidden/>
    <w:unhideWhenUsed/>
    <w:rsid w:val="00901C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1C82"/>
    <w:rPr>
      <w:rFonts w:ascii="Segoe UI" w:hAnsi="Segoe UI" w:cs="Segoe UI"/>
      <w:sz w:val="18"/>
      <w:szCs w:val="18"/>
    </w:rPr>
  </w:style>
  <w:style w:type="character" w:customStyle="1" w:styleId="ParagraphedelisteCar">
    <w:name w:val="Paragraphe de liste Car"/>
    <w:aliases w:val="Dot pt Car,No Spacing1 Car,List Paragraph Char Char Char Car,Indicator Text Car,List Paragraph1 Car,Numbered Para 1 Car,Colorful List - Accent 11 Car,Bullet 1 Car,F5 List Paragraph Car,Bullet Points Car,Normal Fv Car,lp1 Car"/>
    <w:basedOn w:val="Policepardfaut"/>
    <w:link w:val="Paragraphedeliste"/>
    <w:uiPriority w:val="34"/>
    <w:qFormat/>
    <w:locked/>
    <w:rsid w:val="006F3036"/>
  </w:style>
  <w:style w:type="paragraph" w:customStyle="1" w:styleId="Textedesaisie">
    <w:name w:val="Texte de saisie"/>
    <w:basedOn w:val="Normal"/>
    <w:qFormat/>
    <w:rsid w:val="006F3036"/>
    <w:pPr>
      <w:widowControl/>
      <w:autoSpaceDE/>
      <w:autoSpaceDN/>
      <w:spacing w:line="264" w:lineRule="atLeast"/>
    </w:pPr>
    <w:rPr>
      <w:rFonts w:cstheme="minorBidi"/>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993">
      <w:bodyDiv w:val="1"/>
      <w:marLeft w:val="0"/>
      <w:marRight w:val="0"/>
      <w:marTop w:val="0"/>
      <w:marBottom w:val="0"/>
      <w:divBdr>
        <w:top w:val="none" w:sz="0" w:space="0" w:color="auto"/>
        <w:left w:val="none" w:sz="0" w:space="0" w:color="auto"/>
        <w:bottom w:val="none" w:sz="0" w:space="0" w:color="auto"/>
        <w:right w:val="none" w:sz="0" w:space="0" w:color="auto"/>
      </w:divBdr>
    </w:div>
    <w:div w:id="301471836">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35091237">
      <w:bodyDiv w:val="1"/>
      <w:marLeft w:val="0"/>
      <w:marRight w:val="0"/>
      <w:marTop w:val="0"/>
      <w:marBottom w:val="0"/>
      <w:divBdr>
        <w:top w:val="none" w:sz="0" w:space="0" w:color="auto"/>
        <w:left w:val="none" w:sz="0" w:space="0" w:color="auto"/>
        <w:bottom w:val="none" w:sz="0" w:space="0" w:color="auto"/>
        <w:right w:val="none" w:sz="0" w:space="0" w:color="auto"/>
      </w:divBdr>
    </w:div>
    <w:div w:id="1054813017">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25094824">
      <w:bodyDiv w:val="1"/>
      <w:marLeft w:val="0"/>
      <w:marRight w:val="0"/>
      <w:marTop w:val="0"/>
      <w:marBottom w:val="0"/>
      <w:divBdr>
        <w:top w:val="none" w:sz="0" w:space="0" w:color="auto"/>
        <w:left w:val="none" w:sz="0" w:space="0" w:color="auto"/>
        <w:bottom w:val="none" w:sz="0" w:space="0" w:color="auto"/>
        <w:right w:val="none" w:sz="0" w:space="0" w:color="auto"/>
      </w:divBdr>
    </w:div>
    <w:div w:id="1238905671">
      <w:bodyDiv w:val="1"/>
      <w:marLeft w:val="0"/>
      <w:marRight w:val="0"/>
      <w:marTop w:val="0"/>
      <w:marBottom w:val="0"/>
      <w:divBdr>
        <w:top w:val="none" w:sz="0" w:space="0" w:color="auto"/>
        <w:left w:val="none" w:sz="0" w:space="0" w:color="auto"/>
        <w:bottom w:val="none" w:sz="0" w:space="0" w:color="auto"/>
        <w:right w:val="none" w:sz="0" w:space="0" w:color="auto"/>
      </w:divBdr>
    </w:div>
    <w:div w:id="1307199733">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3525F-83D8-4DE4-BE6D-3958EF0D96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7ddd52-0a06-43b1-a35c-dcb15ea2e3f4"/>
    <ds:schemaRef ds:uri="http://www.w3.org/XML/1998/namespace"/>
    <ds:schemaRef ds:uri="http://purl.org/dc/dcmitype/"/>
  </ds:schemaRefs>
</ds:datastoreItem>
</file>

<file path=customXml/itemProps2.xml><?xml version="1.0" encoding="utf-8"?>
<ds:datastoreItem xmlns:ds="http://schemas.openxmlformats.org/officeDocument/2006/customXml" ds:itemID="{102B08F2-9579-40B5-AD3C-DA40F3670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A0572-1D62-4106-87C3-A9C4754254A8}">
  <ds:schemaRefs>
    <ds:schemaRef ds:uri="http://schemas.microsoft.com/sharepoint/v3/contenttype/forms"/>
  </ds:schemaRefs>
</ds:datastoreItem>
</file>

<file path=customXml/itemProps4.xml><?xml version="1.0" encoding="utf-8"?>
<ds:datastoreItem xmlns:ds="http://schemas.openxmlformats.org/officeDocument/2006/customXml" ds:itemID="{9F6CF733-0E5F-47EB-8DE1-0434A432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760</Words>
  <Characters>4184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BRICE LANNAUD</cp:lastModifiedBy>
  <cp:revision>7</cp:revision>
  <cp:lastPrinted>2020-07-21T13:31:00Z</cp:lastPrinted>
  <dcterms:created xsi:type="dcterms:W3CDTF">2021-09-03T09:06:00Z</dcterms:created>
  <dcterms:modified xsi:type="dcterms:W3CDTF">2021-09-03T13:44:00Z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